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6"/>
          <w:lang w:val="en-US" w:eastAsia="zh-CN"/>
        </w:rPr>
        <w:t>关于凭证上的科目来源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方面的操作流程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会计凭证是记账的依据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是会计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核算的基础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只有以正确合格的会计凭证为依据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才能及时反映每一项经济业务的内容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分别以采购数据、销售数据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生成的会计凭证为例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来详细介绍凭证上的科目分别来自哪里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下面请看实景演示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假设采购员采购了一批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不锈钢滑片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产品接收入库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yellow"/>
          <w:lang w:val="en-US" w:eastAsia="zh-CN"/>
        </w:rPr>
        <w:t>生成一张入库凭证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 xml:space="preserve">借：库存商品 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 xml:space="preserve">贷：应付暂估  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这张凭证上的会计科目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来源于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产品所属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的产品类别上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设置的会计库存属性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即原材料/钢材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依次点击库存-基础配置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打开产品类型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点击原材料/钢材-会计库存属性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借：库存商品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在库存计价科目设置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贷：应付暂估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在库存进货科目设置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以上就是入库凭证的科目设置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yellow"/>
          <w:lang w:val="en-US" w:eastAsia="zh-CN"/>
        </w:rPr>
        <w:t>创建供应商账单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打开日记账项目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借：应付暂估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借：应交税费-进项税额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贷：应付账款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这张凭证上的会计科目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借：应付暂估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来源于产品类别-会计库存属性上设置的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库存进货科目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借：应交税费-进项税额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来源于会计模块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配置里边的税率设置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点击进项税-结算单的分配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可以设置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贷：应付账款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来源于会计模块-供应商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单个供应商上的会计分录设置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以上就是供应商账单凭证的科目来源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yellow"/>
          <w:lang w:val="en-US" w:eastAsia="zh-CN"/>
        </w:rPr>
        <w:t>供应商付款，生成凭证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借：应付账款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贷：银行存款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这张凭证上的会计科目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借：应付账款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来源于供应商账单上的贷方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贷：银行存款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来源于会计模块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配置里边的日记账下的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对应银行的账户设置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上就是采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购数据生成的会计凭证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上的科目来源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下面以销售数据生成的会计凭证为例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来详细介绍凭证上的科目分别来自哪里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假设业务员销售了一台全自动绣花机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yellow"/>
          <w:lang w:val="en-US" w:eastAsia="zh-CN"/>
        </w:rPr>
        <w:t>产品出库后，生成一张出库凭证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借：发出商品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贷：库存商品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这张凭证上的会计科目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来源于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产品所属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的产品类别上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设置的会计库存属性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依次点击库存-基础配置-产品类别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选择对应产品类别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会计库存属性模块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借：发出商品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在库存出货科目设置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贷：库存商品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在库存计价科目设置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以上就是出库凭证的科目设置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yellow"/>
          <w:lang w:val="en-US" w:eastAsia="zh-CN"/>
        </w:rPr>
        <w:t>销售开票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借：应收账款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贷：主营业务收入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贷：应交税费-销项税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借：主营业务成本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贷：发出商品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这张凭证上的会计科目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借：应收账款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来源于会计模块-客户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单个客户上的会计分录设置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贷：主营业务收入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来源于产品类别-会计属性上设置的收入科目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贷：应交税费-销项税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来源于会计模块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配置里边的税率设置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点击销项税-结算单的分配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可以设置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借：主营业务成本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来源于产品类别-会计属性上设置的费用科目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贷：发出商品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来源于产品类别-会计库存属性上设置的库存出货科目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yellow"/>
          <w:lang w:val="en-US" w:eastAsia="zh-CN"/>
        </w:rPr>
        <w:t>客户付款，生成凭证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借：银行存款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贷：应收账款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这张凭证上的会计科目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借：银行存款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来源于会计模块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配置里边的日记账下的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对应银行的账户设置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贷：应收账款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来源于客户账单上的借方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上就是销售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数据生成的会计凭证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上的科目来源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通过上述流程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使企业发生的各种经济业务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通过一张张会计凭证正确、及时地反映出来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并为登记账簿提供可靠的依据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也为今后检查和分析经济活动提供原始资料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6CF9153B"/>
    <w:rsid w:val="6CF9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2023-06-25T09:09:00Z</dcterms:created>
  <dc:creator>86136</dc:creator>
  <cp:lastModifiedBy>86136</cp:lastModifiedBy>
  <dcterms:modified xsi:type="dcterms:W3CDTF">2023-06-25T09:10:01Z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161265EE73CA4AEE850631BCFD9BE5DD_11</vt:lpwstr>
  </property>
</Properties>
</file>