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关于固定资产折旧方面的操作流程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固定资产作为一种非现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性质的固定成本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折旧金额的大小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直接影响着企业的收益风险及现金流量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进而对企业筹资、投资、分配、市场价值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以至企业的整体市场竞争能力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都将产生着直接或间接的影响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合理处理折旧的相关问题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对企业的经营关系十分重大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下面请看实景演示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固定资产是指企业为生产产品、提供劳务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出租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或者经营管理而持有的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使用时间超过12个月的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价值达到一定标准的非货币性资产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包括房屋、建筑物、机器、机械、运输工具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以及其他与生产经营活动有关的设备、器具、工具等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假设新购入一台惠普笔记本要计算折旧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首先要创建资产模型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依次点击配置-资产模型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选择创建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惠普笔记本属于办公设备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资产模型名称 输入固定资产-办公设备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折旧时长  输入36个月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固定资产账户  选择固定资产-办公设备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折旧科目    选择累计折旧-办公设备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费用科目    选择销售费用-固定资产折旧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日记账      选择固定资产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如没有该选项，点击创建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日记账名称-输入固定资产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类型  选择杂项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输入简码   GDZC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点击保存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输入资产编码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选择资产类别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按需求填写资产详情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信息创建完成后，点击保存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固定资产-办公设备模型创建完成后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依次点击会计-资产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进行资产折旧的创建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资产名称  输入惠普笔记本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选择上方的固定资产-办公设备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折旧方法和会计模块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自动填充在资产模型预先设置的内容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原始价值 输入购买时价格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选择购买日期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输入不可贬值值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输入资产详情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创建完成后，点击保存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点击确认按钮，开始折旧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下方折旧板可查看每月折旧详情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系统自动生成每月折旧凭证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为草稿状态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折旧到期后，状态变过已过账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以上就是对新购入的资产进行折旧的操作流程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那么对已折旧了部分的资产，在本系统该如何操作呢？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假设现在要对奔驰汽车进行折旧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yellow"/>
          <w:lang w:val="en-US" w:eastAsia="zh-CN"/>
        </w:rPr>
        <w:t>奔驰汽车已了折旧12个月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首先要创建资产模型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依次点击配置-资产模型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选择创建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none"/>
          <w:lang w:val="en-US" w:eastAsia="zh-CN"/>
        </w:rPr>
        <w:t>汽车属于运输设备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资产模型名称 输入固定资产-</w:t>
      </w:r>
      <w:r>
        <w:rPr>
          <w:rFonts w:hint="eastAsia" w:ascii="微软雅黑" w:hAnsi="微软雅黑" w:eastAsia="微软雅黑" w:cs="微软雅黑"/>
          <w:sz w:val="24"/>
          <w:szCs w:val="32"/>
          <w:highlight w:val="none"/>
          <w:lang w:val="en-US" w:eastAsia="zh-CN"/>
        </w:rPr>
        <w:t>运输设备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折旧时长  输入36个月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固定资产账户  输入固定资产-运输设备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折旧科目    选择累计折旧-运输设备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费用科目    选择制造费用-固定资产折旧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日记账 选择固定资产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输入资产编码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选择资产类别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按需求填写资产详情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信息创建完成后，点击保存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固定资产-办公设备模型创建完成后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依次点击会计-资产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进行资产折旧的创建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资产名称  输入奔驰汽车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选择上方的固定资产-运输设备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折旧方法和会计模块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自动填充在资产模型预先设置的内容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原始价值 输入购买时价格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选择购买日期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输入不可贬值值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该汽车已折旧了12个月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首次折旧日期  选择购买日期的下一个月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现有折旧   输入已折旧的12个月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可贬值金额  即已折旧金额 166000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折旧时长  输入剩余折旧月份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开始折旧   选择当前折旧日期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系统自动计算可贬值价值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输入资产详情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创建完成后，点击保存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点击确认按钮，开始折旧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下方折旧板可查看每月折旧详情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系统自动生成每月折旧凭证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为草稿状态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折旧到期后，状态变过已过账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highlight w:val="none"/>
          <w:lang w:val="en-US" w:eastAsia="zh-CN"/>
        </w:rPr>
        <w:t>通过上述流程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还有利于掌握每项资产的使用状态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对于损坏的资产可及时维修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闲置的资产可及时处理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不可用资产及时报废或处置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提升公司资产使用效率</w:t>
      </w:r>
    </w:p>
    <w:p>
      <w:pPr>
        <w:bidi w:val="0"/>
        <w:rPr>
          <w:rFonts w:hint="default" w:ascii="微软雅黑" w:hAnsi="微软雅黑" w:eastAsia="微软雅黑" w:cs="微软雅黑"/>
          <w:sz w:val="24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5797ACF"/>
    <w:rsid w:val="457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2023-06-25T09:05:00Z</dcterms:created>
  <dc:creator>86136</dc:creator>
  <cp:lastModifiedBy>86136</cp:lastModifiedBy>
  <dcterms:modified xsi:type="dcterms:W3CDTF">2023-06-25T09:05:38Z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CA76C281DA5F4507ABE403417563BAFF_11</vt:lpwstr>
  </property>
</Properties>
</file>