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ERD库存管理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关于</w:t>
      </w:r>
      <w:bookmarkStart w:id="0" w:name="_GoBack"/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在手、可用、预测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产品和产品变体以及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产品移动/订货规则</w:t>
      </w:r>
      <w:bookmarkEnd w:id="0"/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方面的操作流程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企业在日常生产中经常会因为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库存量大而造成严重影响</w:t>
      </w:r>
    </w:p>
    <w:p>
      <w:pPr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如</w:t>
      </w:r>
      <w:r>
        <w:rPr>
          <w:rFonts w:hint="eastAsia" w:ascii="黑体" w:hAnsi="黑体" w:eastAsia="黑体" w:cs="黑体"/>
          <w:sz w:val="24"/>
          <w:szCs w:val="24"/>
        </w:rPr>
        <w:t>库存积压占用大量资金</w:t>
      </w:r>
    </w:p>
    <w:p>
      <w:pPr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导致企业生产计划很难正常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进行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库存越多，销售方面压力越大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使用ERD系统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能够有效的减少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库存</w:t>
      </w:r>
      <w:r>
        <w:rPr>
          <w:rFonts w:hint="eastAsia" w:ascii="黑体" w:hAnsi="黑体" w:eastAsia="黑体" w:cs="黑体"/>
          <w:sz w:val="24"/>
          <w:szCs w:val="24"/>
        </w:rPr>
        <w:t>积压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实现仓库物资数据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与信息系统数据的同步准确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实现智能化、自动化仓储</w:t>
      </w:r>
    </w:p>
    <w:p>
      <w:pPr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下面请看实景演示</w:t>
      </w:r>
    </w:p>
    <w:p>
      <w:pP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32"/>
          <w:highlight w:val="yellow"/>
          <w:lang w:eastAsia="zh-CN"/>
        </w:rPr>
      </w:pPr>
      <w:r>
        <w:rPr>
          <w:rFonts w:hint="eastAsia" w:ascii="黑体" w:hAnsi="黑体" w:eastAsia="黑体" w:cs="黑体"/>
          <w:sz w:val="24"/>
          <w:szCs w:val="32"/>
          <w:highlight w:val="yellow"/>
        </w:rPr>
        <w:t>在手、可用、预</w:t>
      </w: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测</w:t>
      </w:r>
      <w:r>
        <w:rPr>
          <w:rFonts w:hint="eastAsia" w:ascii="黑体" w:hAnsi="黑体" w:eastAsia="黑体" w:cs="黑体"/>
          <w:sz w:val="24"/>
          <w:szCs w:val="32"/>
          <w:highlight w:val="yellow"/>
        </w:rPr>
        <w:t>三者的区别是什么</w:t>
      </w:r>
      <w:r>
        <w:rPr>
          <w:rFonts w:hint="eastAsia" w:ascii="黑体" w:hAnsi="黑体" w:eastAsia="黑体" w:cs="黑体"/>
          <w:sz w:val="24"/>
          <w:szCs w:val="32"/>
          <w:highlight w:val="yellow"/>
          <w:lang w:eastAsia="zh-CN"/>
        </w:rPr>
        <w:t>？</w:t>
      </w:r>
    </w:p>
    <w:p>
      <w:pPr>
        <w:rPr>
          <w:rFonts w:hint="eastAsia" w:ascii="黑体" w:hAnsi="黑体" w:eastAsia="黑体" w:cs="黑体"/>
          <w:color w:val="auto"/>
          <w:sz w:val="24"/>
          <w:szCs w:val="32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shd w:val="clear" w:color="FFFFFF" w:fill="D9D9D9"/>
          <w:lang w:val="en-US" w:eastAsia="zh-CN"/>
        </w:rPr>
        <w:t>打开库存模块</w:t>
      </w:r>
    </w:p>
    <w:p>
      <w:pPr>
        <w:rPr>
          <w:rFonts w:hint="eastAsia" w:ascii="黑体" w:hAnsi="黑体" w:eastAsia="黑体" w:cs="黑体"/>
          <w:color w:val="auto"/>
          <w:sz w:val="24"/>
          <w:szCs w:val="32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shd w:val="clear" w:color="FFFFFF" w:fill="D9D9D9"/>
          <w:lang w:val="en-US" w:eastAsia="zh-CN"/>
        </w:rPr>
        <w:t>选择产品</w:t>
      </w:r>
    </w:p>
    <w:p>
      <w:pPr>
        <w:rPr>
          <w:rFonts w:hint="eastAsia" w:ascii="黑体" w:hAnsi="黑体" w:eastAsia="黑体" w:cs="黑体"/>
          <w:color w:val="ED7D31" w:themeColor="accent2"/>
          <w:sz w:val="24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4"/>
          <w:szCs w:val="32"/>
          <w:lang w:val="en-US" w:eastAsia="zh-CN"/>
          <w14:textFill>
            <w14:solidFill>
              <w14:schemeClr w14:val="accent2"/>
            </w14:solidFill>
          </w14:textFill>
        </w:rPr>
        <w:t>在手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指该产品的现有库存数量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包括即将入库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（即将入库但尚未入库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如已采购下单但未收货的数量）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即将出库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（如已销售出去但尚未发货的数量）</w:t>
      </w:r>
    </w:p>
    <w:p>
      <w:pPr>
        <w:rPr>
          <w:rFonts w:hint="eastAsia" w:ascii="黑体" w:hAnsi="黑体" w:eastAsia="黑体" w:cs="黑体"/>
          <w:color w:val="ED7D31" w:themeColor="accent2"/>
          <w:sz w:val="24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4"/>
          <w:szCs w:val="32"/>
          <w:lang w:val="en-US" w:eastAsia="zh-CN"/>
          <w14:textFill>
            <w14:solidFill>
              <w14:schemeClr w14:val="accent2"/>
            </w14:solidFill>
          </w14:textFill>
        </w:rPr>
        <w:t>可用数量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等于在手（库存数量）—被锁定数量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是指库存现有的且没有被锁定的实际数量</w:t>
      </w:r>
    </w:p>
    <w:p>
      <w:pPr>
        <w:rPr>
          <w:rFonts w:hint="eastAsia" w:ascii="黑体" w:hAnsi="黑体" w:eastAsia="黑体" w:cs="黑体"/>
          <w:color w:val="ED7D31" w:themeColor="accent2"/>
          <w:sz w:val="24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4"/>
          <w:szCs w:val="32"/>
          <w:lang w:val="en-US" w:eastAsia="zh-CN"/>
          <w14:textFill>
            <w14:solidFill>
              <w14:schemeClr w14:val="accent2"/>
            </w14:solidFill>
          </w14:textFill>
        </w:rPr>
        <w:t>预测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预测的库存数量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即可用数量+即将入库—即将出库的数量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预测数量非常有用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它显示了销售员可以出售的数量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如预测数量比在手数量多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意味着有些产品将入库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如预测数量比在手数量少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意味着有些产品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已被其它销售订单或者生产单锁定</w:t>
      </w:r>
    </w:p>
    <w:p>
      <w:pP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产品和产品变体区别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产品包括产品变体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变体是指一个产品的多种属性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如绣花机是产品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根据它的不同属性值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生成多种变体</w:t>
      </w:r>
    </w:p>
    <w:p>
      <w:pP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产品移动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点击跳转到产品移动列表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库存的每次变动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系统以产品移动形式记录</w:t>
      </w:r>
    </w:p>
    <w:p>
      <w:pP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产品移动的状态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待办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当产品已经被保留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状态被设置为“可用”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完成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当这次装运被处理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状态就是“完成”</w:t>
      </w:r>
    </w:p>
    <w:p>
      <w:pP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产品移动的方向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入库 如采购入库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系统记录为“从供应商位置移动到库存”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发出 如销售出库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系统记录为“从库存移动到客户位置”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内部 生产领料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系统记录为“从库存移动到生产位置”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制造 制造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系统记录为“从库存移动到库存”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产品移动列表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显示了该产品的所有移动记录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从移动记录可以追溯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该产品的所有变动历史</w:t>
      </w:r>
    </w:p>
    <w:p>
      <w:pPr>
        <w:rPr>
          <w:rFonts w:hint="eastAsia" w:ascii="黑体" w:hAnsi="黑体" w:eastAsia="黑体" w:cs="黑体"/>
          <w:sz w:val="24"/>
          <w:szCs w:val="32"/>
          <w:highlight w:val="yellow"/>
        </w:rPr>
      </w:pPr>
      <w:r>
        <w:rPr>
          <w:rFonts w:hint="eastAsia" w:ascii="黑体" w:hAnsi="黑体" w:eastAsia="黑体" w:cs="黑体"/>
          <w:sz w:val="24"/>
          <w:szCs w:val="32"/>
          <w:highlight w:val="yellow"/>
        </w:rPr>
        <w:t>通过日期筛选产品移动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点击筛选-添加自定义筛选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ID选择日期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设置日期区间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点击应用，即显示这一时间的产品移动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highlight w:val="yellow"/>
          <w:lang w:val="en-US" w:eastAsia="zh-CN"/>
        </w:rPr>
        <w:t>订货规则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点击最大最小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跳转到该产品的订货规则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设定产品的安全库存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规则上设置最小数量、最大数量、倍数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当库存（预测数量）低于最小数量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系统自动发起补货请求，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请求补货到最大数量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即请求的补货数量是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最大数量减去预测库存数量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如果设置了“倍数”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则补货数量向上自动调整到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最接近的整数倍补货请求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基于设定的补货策略进行补货</w:t>
      </w:r>
    </w:p>
    <w:p>
      <w:pP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  <w:t>开票策略</w:t>
      </w:r>
    </w:p>
    <w:p>
      <w:pP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点击产品-销售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基于订单数量开票</w:t>
      </w:r>
    </w:p>
    <w:p>
      <w:pPr>
        <w:rPr>
          <w:rFonts w:hint="eastAsia" w:ascii="黑体" w:hAnsi="黑体" w:eastAsia="黑体" w:cs="黑体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还是基于发货数量开票</w:t>
      </w:r>
    </w:p>
    <w:p>
      <w:pP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  <w:t>物料清单</w:t>
      </w:r>
    </w:p>
    <w:p>
      <w:pP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点击跳转到该产品的物料清单（BoM）列表</w:t>
      </w:r>
    </w:p>
    <w:p>
      <w:pP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BOM类型</w:t>
      </w:r>
    </w:p>
    <w:p>
      <w:pP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“制造此产品”</w:t>
      </w:r>
    </w:p>
    <w:p>
      <w:pP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指通常的BOM即此产品</w:t>
      </w:r>
    </w:p>
    <w:p>
      <w:pP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由BOM表中的部件构成</w:t>
      </w:r>
    </w:p>
    <w:p>
      <w:pP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“套件”</w:t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表示</w:t>
      </w: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组件</w:t>
      </w:r>
    </w:p>
    <w:p>
      <w:pP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  <w:t>用于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指可以作为哪些物料的原材料</w:t>
      </w:r>
    </w:p>
    <w:p>
      <w:pP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  <w:t>已采购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点击跳转到该产品采购分析页面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  <w:t>已销售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点击跳转到该产品的销售分析页面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yellow"/>
          <w:lang w:val="en-US" w:eastAsia="zh-CN"/>
        </w:rPr>
        <w:t>上架规则</w:t>
      </w:r>
    </w:p>
    <w:p>
      <w:pPr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是指从接收到的货物中</w:t>
      </w:r>
    </w:p>
    <w:p>
      <w:pPr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分出产品</w:t>
      </w:r>
    </w:p>
    <w:p>
      <w:pPr>
        <w:rPr>
          <w:rFonts w:hint="eastAsia" w:ascii="黑体" w:hAnsi="黑体" w:eastAsia="黑体" w:cs="黑体"/>
          <w:sz w:val="21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</w:rPr>
        <w:t>并将它们直接送至最合适的库位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打开设置-仓库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勾选储存位置、多步路线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这样，系统将自动启用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-</w:t>
      </w:r>
      <w:r>
        <w:rPr>
          <w:rFonts w:hint="eastAsia" w:ascii="黑体" w:hAnsi="黑体" w:eastAsia="黑体" w:cs="黑体"/>
          <w:sz w:val="24"/>
          <w:szCs w:val="24"/>
        </w:rPr>
        <w:t>储存位置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-</w:t>
      </w:r>
      <w:r>
        <w:rPr>
          <w:rFonts w:hint="eastAsia" w:ascii="黑体" w:hAnsi="黑体" w:eastAsia="黑体" w:cs="黑体"/>
          <w:sz w:val="24"/>
          <w:szCs w:val="24"/>
        </w:rPr>
        <w:t>功能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然后返回库存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点击基础配置-上架规则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点击创建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指定产品将进入的主要库位</w:t>
      </w:r>
    </w:p>
    <w:p>
      <w:pPr>
        <w:rPr>
          <w:rFonts w:hint="eastAsia" w:ascii="黑体" w:hAnsi="黑体" w:eastAsia="黑体" w:cs="黑体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然后再定向到正确的库位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通过上述流程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企业制定合理的生产计划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能更高效的提升作业调度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有预测的进行货物储备处理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做到库存商品的计划采购与调整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保证公司的正常运行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做到库存物品不过多积压和断档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并根据实际情况</w:t>
      </w:r>
    </w:p>
    <w:p>
      <w:pPr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提供科学的采购计划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0B6954D7"/>
    <w:rsid w:val="0B6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2023-06-25T06:46:00Z</dcterms:created>
  <dc:creator>86136</dc:creator>
  <cp:lastModifiedBy>86136</cp:lastModifiedBy>
  <dcterms:modified xsi:type="dcterms:W3CDTF">2023-06-25T06:46:32Z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1D35F5F9158A4058AAC7DF0266414B52_11</vt:lpwstr>
  </property>
</Properties>
</file>